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288</w:t>
      </w:r>
    </w:p>
    <w:p>
      <w:r>
        <w:t>Bundesgericht (BGE), 2010-02-02, FR</w:t>
      </w:r>
    </w:p>
    <w:p>
      <w:r>
        <w:rPr>
          <w:b/>
        </w:rPr>
        <w:t xml:space="preserve">Quelle: </w:t>
      </w:r>
      <w:r>
        <w:t>https://mcp.opencaselaw.ch/entscheid/bge_136 III 288</w:t>
      </w:r>
    </w:p>
    <w:p>
      <w:r>
        <w:t>FR: ATF 136 III 288</w:t>
      </w:r>
    </w:p>
    <w:p>
      <w:r>
        <w:t>IT: DTF 136 III 288</w:t>
      </w:r>
    </w:p>
    <w:p>
      <w:pPr>
        <w:pStyle w:val="Heading2"/>
      </w:pPr>
      <w:r>
        <w:t>Regeste</w:t>
      </w:r>
    </w:p>
    <w:p>
      <w:r>
        <w:t>Regeste Bestreitung des Lastenverzeichnisses (Art. 140 Abs. 2 SchKG; Art. 39 VZG); Berücksichtigung eines Schuldbriefes (Art. 842 ZGB), welcher dem Gläubiger sicherungsübereignet worden ist (Art. 35 Abs. 2 VZG). Erhält der Gläubiger einen Schuldbrief zur Sicherung übereignet, ist zwischen der durch das Grundpfand gesicherten abstrakten Forderung (Titelforderung) und der sich aus dem Grundverhältnis ergebenden kausalen Forderung (Grundforderung) zu unterscheiden. In der Grundpfandbetreibung, welche die Titelforderung zum Gegenstand hat, muss das Betreibungsamt im Lastenverzeichnis des betreffenden Grundstücks den effektiv geschuldeten Betrag des Kapitals und der Zinsen der Grundforderung aufnehmen, wenn diese Forderung weniger beträgt als die sich, vermehrt um die aus dem Grundpfand gedeckten Zinsen im Sinn von Art. 818 Abs. 1 Ziff. 3 ZGB, aus dem Schuldbrief ergebende; im umgekehrten Fall hat es den Betrag der Titelforderung mit ihren Zinsen aufzunehmen (E. 3.1-3.3). Die im Lastenverzeichnis berücksichtigten Zinsen der Titelforderung können höher sein als die im Stadium der Rechtsöffnung gewährten (E. 3.4).</w:t>
      </w:r>
    </w:p>
    <w:p>
      <w:pPr>
        <w:pStyle w:val="Heading2"/>
      </w:pPr>
      <w:r>
        <w:t>Erwägungen</w:t>
      </w:r>
    </w:p>
    <w:p>
      <w:r>
        <w:rPr>
          <w:b/>
        </w:rPr>
        <w:t>E. 3.1</w:t>
      </w:r>
    </w:p>
    <w:p>
      <w:r>
        <w:t>La cédule hypothécaire est une créance personnelle garantie par un gage immobilier ( art. 842 CC ). Il s'agit d'un papier-valeur qui incorpore à la fois la créance et le droit de gage immobilier, qui en est l'accessoire. Lorsque le créancier l'a reçue comme propriétaire fiduciaire aux fins de garantie (garantie fiduciaire; Sicherungsübereignung), il n'y a pas novation de la créance garantie (ou causale ou de base; ATF 134 III 71 consid. 3 et les références). On distingue alors la créance abstraite garantie par le gage immobilier, incorporée dans la cédule hypothécaire, et la créance causale résultant de la relation de base, en général un contrat de prêt, pour laquelle la cédule a été remise en garantie, ces deux créances étant indépendantes l'une de l'autre. La créance abstraite constatée dans la cédule est destinée à doubler la créance causale aux fins d'en faciliter et d'en garantir le recouvrement. Seule la créance abstraite incorporée dans la cédule hypothécaire et garantie par gage immobilier doit faire l'objet d'une poursuite en réalisation de gage immobilier, tandis que la créance causale peut faire l'objet d'une poursuite ordinaire ( ATF 119 III 105 consid. 2a; arrêts 5A_226/2007 du 20 novembre 2007 consid. 5.1 et les références citées, 7B.175/2001 du 11 octobre 2001 consid. 1a).</w:t>
      </w:r>
    </w:p>
    <w:p>
      <w:r>
        <w:rPr>
          <w:b/>
        </w:rPr>
        <w:t>E. 3.2</w:t>
      </w:r>
    </w:p>
    <w:p>
      <w:r>
        <w:t>Dans le cas particulier, les deux cédules ont fait l'objet d'un acte de cession en propriété et à fin de garantie. La cour cantonale en déduit, sans que la recourante la critique sur ce point, que les parties ont renoncé à la novation et que les deux créances cédulaires (abstraites) se sont juxtaposées aux créances garanties (créances causales). Les contrats de fiducie du 17 janvier 1996 indiquaient d'ailleurs que la banque ne pourrait faire valoir les créances incorporées dans les titres que jusqu'à concurrence du montant total déterminé et déterminable de ses prétentions garanties par la cession. L'art. 35 al. 2 de l'ordonnance du Tribunal fédéral du 23 avril 1920 sur la réalisation forcée des immeubles (ORFI; RS 281.42), applicable par analogie à la réalisation dans la poursuite en réalisation de gage en vertu de l' art. 102 ORFI , prévoit que les titres de gage créés au nom du propriétaire et donnés en nantissement doivent figurer à leur rang dans l'état des charges pour le montant du titre ou, si la somme pour laquelle le titre a été donné en nantissement est inférieure, pour cette somme. Cela signifie a fortiori, en l'espèce, que si la créance résultant du rapport contractuel de base était inférieure au BGE 136 III 288 S. 292 montant de la créance incorporée dans les cédules, la banque ne pouvait agir dans la poursuite en réalisation de gage immobilier que pour la somme équivalant à ce qui était effectivement dû en capital et intérêts en vertu de la créance causale (arrêt 5A_226/2007 déjà cité consid. 5.1). Si, au contraire, la créance résultant du rapport de base était supérieure au montant nominal des créances cédulaires majoré de leurs intérêts couverts par le droit de gage au sens de l' art. 818 al. 1 ch. 3 CC (intérêts de trois années échus et intérêts ayant couru depuis la dernière échéance aux taux des conventions de fiducie), la banque pouvait faire valoir dans la poursuite spéciale l'intégralité des créances cédulaires augmentées de leurs intérêts, le solde de sa créance devant faire l'objet d'une poursuite ordinaire (DIETER ZOBL, Zur Sicherungsübereignung von Schuldbriefen, RNRF 68/1987 p. 292 let. b et d/bb; NICOLAS DE GOTTRAU, Transfert de propriété et cession à fin de garantie, in Sûretés et garanties bancaires, 1997, p. 213 s.; DANIEL STAEHELIN, Betreibung und Rechtsöffnung beim Schuldbrief, PJA 1994 p. 1255 ss, en particulier p. 1267). Selon les constatations du jugement attaqué et l'expertise sur laquelle elles s'appuient, la créance totale produite par l'intimée sur la base du rapport contractuel de base s'élevait à 3'352'887 fr. 45, y compris ses intérêts, soumis à évolution, convenus pour cette créance, alors que le montant total des créances cédulaires s'élevait à 1'916'740 fr., y compris leurs intérêts calculés aux taux fixés dans les conventions de fiducie de 8 % et 10 % (cf. les faits ci-dessus). L'office des poursuites s'est donc conformé aux principes qui viennent d'être exposés en portant à l'état des charges le montant total des créances cédulaires, par 1'916'740 fr.</w:t>
      </w:r>
    </w:p>
    <w:p>
      <w:r>
        <w:rPr>
          <w:b/>
        </w:rPr>
        <w:t>E. 3.3</w:t>
      </w:r>
    </w:p>
    <w:p>
      <w:r>
        <w:t>La recourante ne reproche pas à la cour cantonale de s'être trompée en entérinant le procédé de l'office des poursuites; elle lui fait simplement grief d'avoir confirmé, à tort au regard de l' art. 104 al. 2 CO , l'application des taux d'intérêts de 8 % et 10 % aux deux créances cédulaires. A son avis, seul le taux légal de 5 %, à titre d'intérêt moratoire, était applicable après la dénonciation des cédules. En l'espèce, les parties sont convenues, aux termes des actes de cession en propriété et à fin de garantie des titres hypothécaires du 17 janvier 1996, que les créances cédulaires porteraient intérêt aux taux maximum mentionnés dans les titres, soit respectivement 8 % et 10 %. Au stade de la réalisation, la créancière pouvait donc, en vertu de l' art. 818 al. 1 ch. 1 et 3 CC , requérir la prise en compte à l'état des BGE 136 III 288 S. 293 charges de l'intégralité des créances cédulaires avec leurs intérêts aux taux convenus de 8 % et 10 % (cf. ZOBL, op. cit., exemple cité sous let. d/bb). La cour cantonale a donc confirmé à bon droit ces taux. Les réquisitions de vente ayant été présentées, respectivement, le 10 janvier 2003 et le 30 juin 2003, et la réalisation ayant eu lieu le 14 mai 2004, jour auquel prenait fin la garantie hypothécaire(PAUL-HENRI STEINAUER, Les droits réels, tome III, 3 e éd. 2003, n. 2795), la production d'intérêts, soit 8 % sur 1'040'000 fr. du 10 janvier 2000 au 14 mai 2004, et 10 % sur 370'000 fr. du 30 juin 2000 au 14 mai 2004, pouvait ainsi être inscrite à l'état des charges, d'éventuels intérêts supplémentaires au titre des intérêts courus ( art. 818 al. 1 ch. 3 CC ) ne pouvant être pris en considération dès lors que la production de la créancière, portée à l'état des charges, ne les réclamait pas.</w:t>
      </w:r>
    </w:p>
    <w:p>
      <w:r>
        <w:rPr>
          <w:b/>
        </w:rPr>
        <w:t>E. 3.4</w:t>
      </w:r>
    </w:p>
    <w:p>
      <w:r>
        <w:t>La recourante fait valoir que les intérêts des créances cédulaires à prendre en compte dans l'état des charges auraient plutôt dû être ceux alloués par les décisions de mainlevée d'opposition. Ce point de vue ne peut pas être partagé. Selon la jurisprudence, en effet, le créancier gagiste poursuivant peut produire d'autres ou de plus amples droits que ceux réclamés dans la réquisition de poursuite, par exemple des intérêts supplémentaires. Comme tout tiers créancier, il peut exiger que ses droits, pour lesquels il n'a pas requis la poursuite, soient pris en considération dans l'état des charges; pour le même motif, il peut aussi produire la partie de la créance pour laquelle la mainlevée de l'opposition lui a été refusée (arrêt 5C.266/ 2005 du 2 février 2006 consid. 3.2 et les références citées). En outre, au stade de la mainlevée, le juge qui la prononce ne connaît pas encore le jour de la réquisition de vente et n'est donc pas en mesure d'allouer les intérêts courants (art. 818 al. 1 ch. 3 in fine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